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2C" w:rsidRPr="007E722C" w:rsidRDefault="007E722C" w:rsidP="00335546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jc w:val="center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7E722C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Практическое занятие №1 «Основные фонды предприятия»</w:t>
      </w:r>
    </w:p>
    <w:p w:rsidR="007E722C" w:rsidRPr="007E722C" w:rsidRDefault="007E722C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Задача 1</w:t>
      </w:r>
    </w:p>
    <w:p w:rsidR="007E722C" w:rsidRDefault="007E722C" w:rsidP="00335546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Определить фондоотдачу, </w:t>
      </w: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фондоемкость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и </w:t>
      </w: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фондовооруженность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труда по данным таблицы 1.1.</w:t>
      </w:r>
    </w:p>
    <w:p w:rsidR="00335546" w:rsidRPr="007E722C" w:rsidRDefault="00335546" w:rsidP="0033554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56"/>
        <w:gridCol w:w="1242"/>
      </w:tblGrid>
      <w:tr w:rsidR="007E722C" w:rsidRPr="007E722C" w:rsidTr="0009772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335546">
            <w:pPr>
              <w:spacing w:after="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1.1</w:t>
            </w:r>
          </w:p>
        </w:tc>
      </w:tr>
      <w:tr w:rsidR="007E722C" w:rsidRPr="007E722C" w:rsidTr="00097725">
        <w:tc>
          <w:tcPr>
            <w:tcW w:w="4346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654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</w:t>
            </w:r>
          </w:p>
        </w:tc>
      </w:tr>
      <w:tr w:rsidR="007E722C" w:rsidRPr="007E722C" w:rsidTr="00097725">
        <w:tc>
          <w:tcPr>
            <w:tcW w:w="4346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Валовая (товарная) продукция в сопоставимых ценах, </w:t>
            </w:r>
            <w:proofErr w:type="spellStart"/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млн</w:t>
            </w:r>
            <w:proofErr w:type="spellEnd"/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 руб.</w:t>
            </w:r>
          </w:p>
        </w:tc>
        <w:tc>
          <w:tcPr>
            <w:tcW w:w="654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13 850</w:t>
            </w:r>
          </w:p>
        </w:tc>
      </w:tr>
      <w:tr w:rsidR="007E722C" w:rsidRPr="007E722C" w:rsidTr="00097725">
        <w:tc>
          <w:tcPr>
            <w:tcW w:w="4346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Среднегодовая стоимость основных производственных фондов, </w:t>
            </w:r>
            <w:proofErr w:type="spellStart"/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млн</w:t>
            </w:r>
            <w:proofErr w:type="spellEnd"/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 руб.</w:t>
            </w:r>
          </w:p>
        </w:tc>
        <w:tc>
          <w:tcPr>
            <w:tcW w:w="654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7 650</w:t>
            </w:r>
          </w:p>
        </w:tc>
      </w:tr>
      <w:tr w:rsidR="007E722C" w:rsidRPr="007E722C" w:rsidTr="00097725">
        <w:tc>
          <w:tcPr>
            <w:tcW w:w="4346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Среднесписочная численность рабочих в первую смену</w:t>
            </w:r>
          </w:p>
        </w:tc>
        <w:tc>
          <w:tcPr>
            <w:tcW w:w="654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700</w:t>
            </w:r>
          </w:p>
        </w:tc>
      </w:tr>
    </w:tbl>
    <w:p w:rsidR="00335546" w:rsidRDefault="00335546" w:rsidP="0033554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</w:p>
    <w:p w:rsidR="007E722C" w:rsidRPr="007E722C" w:rsidRDefault="007E722C" w:rsidP="00335546">
      <w:pPr>
        <w:shd w:val="clear" w:color="auto" w:fill="FFFFFF"/>
        <w:spacing w:after="24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К обобщающим показателям использования основных фондов относятся: фондоотдача, </w:t>
      </w: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фондоемкость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фондовооруженность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труда и др. Показатель фондоотдачи рассчитывается по формуле:</w:t>
      </w:r>
    </w:p>
    <w:p w:rsidR="007E722C" w:rsidRDefault="00097725" w:rsidP="000977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spellStart"/>
      <w:r w:rsidRPr="000977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Фо</w:t>
      </w:r>
      <w:proofErr w:type="spellEnd"/>
      <w:r w:rsidRPr="000977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= В/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.ф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097725" w:rsidRPr="00097725" w:rsidRDefault="00097725" w:rsidP="00097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725" w:rsidRPr="00335546" w:rsidRDefault="00097725" w:rsidP="00335546">
      <w:pPr>
        <w:spacing w:after="0" w:line="336" w:lineRule="atLeast"/>
        <w:ind w:left="-72" w:hanging="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="0033554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="0033554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 </w:t>
      </w:r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</w:t>
      </w:r>
      <w:r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</w:t>
      </w:r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выпуск продукции в оптовых ценах, </w:t>
      </w:r>
      <w:proofErr w:type="spellStart"/>
      <w:proofErr w:type="gramStart"/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spellEnd"/>
      <w:proofErr w:type="gramEnd"/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 руб.;</w:t>
      </w:r>
    </w:p>
    <w:p w:rsidR="007E722C" w:rsidRPr="00335546" w:rsidRDefault="00097725" w:rsidP="007E722C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5546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35546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C</w:t>
      </w:r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o.ф</w:t>
      </w:r>
      <w:proofErr w:type="spellEnd"/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среднегодовая стоимость основных фондов, </w:t>
      </w:r>
      <w:proofErr w:type="spellStart"/>
      <w:proofErr w:type="gramStart"/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spellEnd"/>
      <w:proofErr w:type="gramEnd"/>
      <w:r w:rsidR="007E722C" w:rsidRPr="00335546">
        <w:rPr>
          <w:rFonts w:ascii="Times New Roman" w:eastAsia="Times New Roman" w:hAnsi="Times New Roman" w:cs="Times New Roman"/>
          <w:sz w:val="26"/>
          <w:szCs w:val="26"/>
          <w:lang w:eastAsia="ru-RU"/>
        </w:rPr>
        <w:t> руб.</w:t>
      </w:r>
    </w:p>
    <w:p w:rsidR="007E722C" w:rsidRPr="00335546" w:rsidRDefault="00335546" w:rsidP="00335546">
      <w:pPr>
        <w:shd w:val="clear" w:color="auto" w:fill="FFFFFF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3554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proofErr w:type="gramStart"/>
      <w:r w:rsidR="007E722C" w:rsidRPr="003355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Подставляя наши значения имеем</w:t>
      </w:r>
      <w:proofErr w:type="gramEnd"/>
      <w:r w:rsidR="007E722C" w:rsidRPr="003355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7E722C" w:rsidRPr="00335546" w:rsidRDefault="00335546" w:rsidP="0033554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</w:t>
      </w:r>
      <w:proofErr w:type="gramStart"/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o</w:t>
      </w:r>
      <w:proofErr w:type="spellEnd"/>
      <w:proofErr w:type="gramEnd"/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13 850</w:t>
      </w:r>
      <w:r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/7650</w:t>
      </w:r>
      <w:r w:rsidR="007E722C"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= 1,810 руб./руб.</w:t>
      </w:r>
    </w:p>
    <w:p w:rsidR="007E722C" w:rsidRPr="007E722C" w:rsidRDefault="007E722C" w:rsidP="00335546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Фондоотдача – это коэффициент</w:t>
      </w:r>
      <w:r w:rsidR="00335546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который характеризует уровень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использования основных фондов предприятия.</w:t>
      </w:r>
    </w:p>
    <w:p w:rsidR="007E722C" w:rsidRPr="007E722C" w:rsidRDefault="007E722C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Фондоемкость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определяется по формуле:</w:t>
      </w:r>
    </w:p>
    <w:p w:rsidR="00335546" w:rsidRDefault="00335546" w:rsidP="003355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spellStart"/>
      <w:r w:rsidRPr="000977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е</w:t>
      </w:r>
      <w:proofErr w:type="spellEnd"/>
      <w:r w:rsidRPr="0009772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.ф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./В</w:t>
      </w:r>
    </w:p>
    <w:p w:rsidR="007E722C" w:rsidRPr="007E722C" w:rsidRDefault="007E722C" w:rsidP="007E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22C" w:rsidRPr="007E722C" w:rsidRDefault="00CF5C86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="007E722C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нашем случае:</w:t>
      </w:r>
    </w:p>
    <w:p w:rsidR="007E722C" w:rsidRPr="007E722C" w:rsidRDefault="00CF5C86" w:rsidP="007E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е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</w:t>
      </w:r>
      <w:r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7650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</w:t>
      </w:r>
      <w:r w:rsidRPr="0033554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13 850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= 0,552 руб./руб.</w:t>
      </w:r>
    </w:p>
    <w:p w:rsidR="007E722C" w:rsidRPr="007E722C" w:rsidRDefault="00CF5C86" w:rsidP="00CF5C86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Фондоемкость</w:t>
      </w:r>
      <w:proofErr w:type="spellEnd"/>
      <w:r w:rsidR="007E722C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– это показатель, обратный показателю фондоотдачи, он характеризует долю капитальных вложений в затратах на организацию производства продукции.</w:t>
      </w:r>
    </w:p>
    <w:p w:rsidR="007E722C" w:rsidRPr="007E722C" w:rsidRDefault="007E722C" w:rsidP="00CF5C86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Фондовооруженность</w:t>
      </w:r>
      <w:proofErr w:type="spell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труда – это отношение стоимости основных производственных фондов (</w:t>
      </w:r>
      <w:proofErr w:type="spellStart"/>
      <w:r w:rsidRPr="007E722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C</w:t>
      </w:r>
      <w:r w:rsidRPr="007E722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o.ф</w:t>
      </w:r>
      <w:proofErr w:type="spellEnd"/>
      <w:r w:rsidRPr="007E722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.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к численности производственного персонала </w:t>
      </w:r>
      <w:r w:rsidRPr="007E722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Ч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:</w:t>
      </w:r>
    </w:p>
    <w:p w:rsidR="00CF5C86" w:rsidRDefault="00CF5C86" w:rsidP="00CF5C8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Фт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Со</w:t>
      </w:r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.ф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./Ч</w:t>
      </w:r>
    </w:p>
    <w:p w:rsidR="007E722C" w:rsidRPr="007E722C" w:rsidRDefault="00CF5C86" w:rsidP="00CF5C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7 650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/700 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= 10,93 </w:t>
      </w:r>
      <w:proofErr w:type="spellStart"/>
      <w:proofErr w:type="gram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proofErr w:type="spellEnd"/>
      <w:proofErr w:type="gram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руб./чел.</w:t>
      </w:r>
    </w:p>
    <w:p w:rsidR="007E722C" w:rsidRPr="007E722C" w:rsidRDefault="007E722C" w:rsidP="00CF5C86">
      <w:pPr>
        <w:shd w:val="clear" w:color="auto" w:fill="FFFFFF"/>
        <w:spacing w:after="24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Данный показатель характеризует уровень обеспеченности производственного персонала средствами производства.</w:t>
      </w:r>
    </w:p>
    <w:p w:rsidR="00CF5C86" w:rsidRDefault="00CF5C86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E722C" w:rsidRPr="007E722C" w:rsidRDefault="007E722C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lastRenderedPageBreak/>
        <w:t>Задача 2</w:t>
      </w:r>
    </w:p>
    <w:p w:rsidR="007E722C" w:rsidRDefault="007E722C" w:rsidP="007E722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Определить амортизацию (общую и на 1000 м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vertAlign w:val="superscript"/>
          <w:lang w:eastAsia="ru-RU"/>
        </w:rPr>
        <w:t>3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газов) по данным таблицы 1.2, если установлены следующие нормы амортизации</w:t>
      </w: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 %:</w:t>
      </w:r>
      <w:proofErr w:type="gramEnd"/>
    </w:p>
    <w:p w:rsidR="00097725" w:rsidRPr="00097725" w:rsidRDefault="00097725" w:rsidP="007E722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8"/>
        <w:gridCol w:w="1785"/>
      </w:tblGrid>
      <w:tr w:rsidR="007E722C" w:rsidRPr="007E722C" w:rsidTr="007E722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На реновацию</w:t>
            </w:r>
          </w:p>
        </w:tc>
      </w:tr>
      <w:tr w:rsidR="007E722C" w:rsidRPr="007E722C" w:rsidTr="007E722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Для зданий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2,6</w:t>
            </w:r>
          </w:p>
        </w:tc>
      </w:tr>
      <w:tr w:rsidR="007E722C" w:rsidRPr="007E722C" w:rsidTr="007E722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Для сооружений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5,4</w:t>
            </w:r>
          </w:p>
        </w:tc>
      </w:tr>
      <w:tr w:rsidR="007E722C" w:rsidRPr="007E722C" w:rsidTr="007E722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Для оборудования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13,3</w:t>
            </w:r>
          </w:p>
        </w:tc>
      </w:tr>
    </w:tbl>
    <w:p w:rsidR="007E722C" w:rsidRPr="007E722C" w:rsidRDefault="007E722C" w:rsidP="007E72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0"/>
        <w:gridCol w:w="1518"/>
      </w:tblGrid>
      <w:tr w:rsidR="007E722C" w:rsidRPr="007E722C" w:rsidTr="0009772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1.2</w:t>
            </w:r>
          </w:p>
        </w:tc>
      </w:tr>
      <w:tr w:rsidR="007E722C" w:rsidRPr="007E722C" w:rsidTr="00097725">
        <w:tc>
          <w:tcPr>
            <w:tcW w:w="420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79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</w:t>
            </w:r>
          </w:p>
        </w:tc>
      </w:tr>
      <w:tr w:rsidR="007E722C" w:rsidRPr="007E722C" w:rsidTr="00097725">
        <w:tc>
          <w:tcPr>
            <w:tcW w:w="420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 xml:space="preserve">Годовая </w:t>
            </w:r>
            <w:proofErr w:type="spell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произв-ть</w:t>
            </w:r>
            <w:proofErr w:type="spell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 xml:space="preserve"> оборудования газоочистки, </w:t>
            </w:r>
            <w:proofErr w:type="spellStart"/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млн</w:t>
            </w:r>
            <w:proofErr w:type="spellEnd"/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 м</w:t>
            </w: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vertAlign w:val="superscript"/>
                <w:lang w:eastAsia="ru-RU"/>
              </w:rPr>
              <w:t>3</w:t>
            </w: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/год</w:t>
            </w:r>
          </w:p>
        </w:tc>
        <w:tc>
          <w:tcPr>
            <w:tcW w:w="79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300</w:t>
            </w:r>
          </w:p>
        </w:tc>
      </w:tr>
      <w:tr w:rsidR="007E722C" w:rsidRPr="007E722C" w:rsidTr="00097725">
        <w:tc>
          <w:tcPr>
            <w:tcW w:w="4201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 xml:space="preserve">Капитальные вложения, </w:t>
            </w:r>
            <w:proofErr w:type="spellStart"/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млрд</w:t>
            </w:r>
            <w:proofErr w:type="spellEnd"/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 руб., в том числе:</w:t>
            </w:r>
          </w:p>
        </w:tc>
        <w:tc>
          <w:tcPr>
            <w:tcW w:w="799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</w:tr>
      <w:tr w:rsidR="007E722C" w:rsidRPr="007E722C" w:rsidTr="00097725">
        <w:tc>
          <w:tcPr>
            <w:tcW w:w="4201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зданий</w:t>
            </w:r>
          </w:p>
        </w:tc>
        <w:tc>
          <w:tcPr>
            <w:tcW w:w="799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1,0</w:t>
            </w:r>
          </w:p>
        </w:tc>
      </w:tr>
      <w:tr w:rsidR="007E722C" w:rsidRPr="007E722C" w:rsidTr="00097725">
        <w:tc>
          <w:tcPr>
            <w:tcW w:w="4201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сооружений</w:t>
            </w:r>
          </w:p>
        </w:tc>
        <w:tc>
          <w:tcPr>
            <w:tcW w:w="799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0,6</w:t>
            </w:r>
          </w:p>
        </w:tc>
      </w:tr>
      <w:tr w:rsidR="007E722C" w:rsidRPr="007E722C" w:rsidTr="00097725">
        <w:tc>
          <w:tcPr>
            <w:tcW w:w="4201" w:type="pct"/>
            <w:tcBorders>
              <w:top w:val="nil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оборудование</w:t>
            </w:r>
          </w:p>
        </w:tc>
        <w:tc>
          <w:tcPr>
            <w:tcW w:w="799" w:type="pct"/>
            <w:tcBorders>
              <w:top w:val="nil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097725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0,4</w:t>
            </w:r>
          </w:p>
        </w:tc>
      </w:tr>
    </w:tbl>
    <w:p w:rsidR="00CF5C86" w:rsidRDefault="00CF5C86" w:rsidP="00CF5C86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</w:pPr>
    </w:p>
    <w:p w:rsidR="007E722C" w:rsidRPr="007E722C" w:rsidRDefault="007E722C" w:rsidP="00CF5C86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Амортизационные отчисления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это часть стоимости основных фондов, которая переносится на готовый проду</w:t>
      </w: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кт в пр</w:t>
      </w:r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оцессе их эксплуатации и износа.</w:t>
      </w:r>
    </w:p>
    <w:p w:rsidR="007E722C" w:rsidRPr="007E722C" w:rsidRDefault="007E722C" w:rsidP="00CF5C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proofErr w:type="gram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</w:t>
      </w:r>
      <w:proofErr w:type="spell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перв</w:t>
      </w:r>
      <w:proofErr w:type="spell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а</w:t>
      </w:r>
      <w:proofErr w:type="spell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/100,</w:t>
      </w:r>
    </w:p>
    <w:p w:rsidR="0078552D" w:rsidRDefault="00CF5C86" w:rsidP="0078552D">
      <w:pPr>
        <w:spacing w:after="0" w:line="276" w:lineRule="auto"/>
        <w:ind w:left="-72" w:firstLine="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 </w:t>
      </w:r>
      <w:proofErr w:type="spell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перв</w:t>
      </w:r>
      <w:proofErr w:type="spellEnd"/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первоначальная стоимость основных фондов, руб.;</w:t>
      </w:r>
    </w:p>
    <w:p w:rsidR="007E722C" w:rsidRPr="00CF5C86" w:rsidRDefault="0078552D" w:rsidP="0078552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proofErr w:type="gram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</w:t>
      </w:r>
      <w:proofErr w:type="gramEnd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а</w:t>
      </w:r>
      <w:proofErr w:type="spellEnd"/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норма амортизации – установленный в плановом порядке годовой процент возмещения основных фондов для полного восстановления основных фондов.</w:t>
      </w:r>
    </w:p>
    <w:p w:rsidR="007E722C" w:rsidRPr="007E722C" w:rsidRDefault="007E722C" w:rsidP="00CF5C86">
      <w:pPr>
        <w:shd w:val="clear" w:color="auto" w:fill="FFFFFF"/>
        <w:spacing w:after="24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Подставляя данные своего варианта имеем</w:t>
      </w:r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:</w:t>
      </w:r>
    </w:p>
    <w:p w:rsidR="007E722C" w:rsidRPr="007E722C" w:rsidRDefault="00CF5C86" w:rsidP="00CF5C8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от.зд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1,0 · 2,6/100 = 26 </w:t>
      </w:r>
      <w:proofErr w:type="spellStart"/>
      <w:proofErr w:type="gram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proofErr w:type="spellEnd"/>
      <w:proofErr w:type="gram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руб.;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от.соор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0,6 · 5,4/100 = 32,4 </w:t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руб.;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от.об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0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,4 · 13,3/100 = 53,2 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руб.;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от.зд.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proofErr w:type="gram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.с</w:t>
      </w:r>
      <w:proofErr w:type="gram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оор.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+ 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от.об.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26 + 32,2 + 53,2 = 11</w:t>
      </w:r>
      <w:r w:rsidR="007A46E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,4 </w:t>
      </w:r>
      <w:proofErr w:type="spellStart"/>
      <w:proofErr w:type="gram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proofErr w:type="spellEnd"/>
      <w:proofErr w:type="gram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руб.,</w:t>
      </w:r>
    </w:p>
    <w:p w:rsidR="00CF5C86" w:rsidRDefault="00CF5C86" w:rsidP="007E722C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 </w:t>
      </w:r>
      <w:proofErr w:type="spellStart"/>
      <w:proofErr w:type="gram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proofErr w:type="gramEnd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от.зд</w:t>
      </w:r>
      <w:proofErr w:type="spellEnd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амортизационные отчисления на здания;</w:t>
      </w:r>
    </w:p>
    <w:p w:rsidR="00CF5C86" w:rsidRDefault="00CF5C86" w:rsidP="007E722C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proofErr w:type="gram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.с</w:t>
      </w:r>
      <w:proofErr w:type="gramEnd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оор</w:t>
      </w:r>
      <w:proofErr w:type="spellEnd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амортизационные отчисления на сооружения;</w:t>
      </w:r>
    </w:p>
    <w:p w:rsidR="007E722C" w:rsidRPr="00CF5C86" w:rsidRDefault="00CF5C86" w:rsidP="007E722C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от.об</w:t>
      </w:r>
      <w:proofErr w:type="spellEnd"/>
      <w:proofErr w:type="gramStart"/>
      <w:r w:rsidR="007E722C"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.</w:t>
      </w:r>
      <w:proofErr w:type="gramEnd"/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– </w:t>
      </w:r>
      <w:proofErr w:type="gramStart"/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мортизационные отчисления на оборудование.</w:t>
      </w:r>
    </w:p>
    <w:p w:rsidR="007E722C" w:rsidRPr="00CF5C86" w:rsidRDefault="00CF5C86" w:rsidP="007E722C">
      <w:pPr>
        <w:shd w:val="clear" w:color="auto" w:fill="FFFFFF"/>
        <w:spacing w:after="0" w:line="336" w:lineRule="atLeast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Амортизационные отчисления на 1 000 м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7A4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газов – это часть 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амортизационных отчислений, начисляемая за время очистки 1 000 м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="007E722C"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газов.</w:t>
      </w:r>
    </w:p>
    <w:p w:rsidR="007E722C" w:rsidRPr="007E722C" w:rsidRDefault="007A46E4" w:rsidP="007E7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ab/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1 000 = </w:t>
      </w:r>
      <w:proofErr w:type="spellStart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</w:t>
      </w:r>
      <w:proofErr w:type="gram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=</w:t>
      </w:r>
      <w:proofErr w:type="spellEnd"/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11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,4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/300 = 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0,3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7</w:t>
      </w:r>
      <w:r w:rsidR="0078552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млн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руб./1 000 м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>3</w:t>
      </w:r>
      <w:r w:rsidR="007E722C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.</w:t>
      </w:r>
    </w:p>
    <w:p w:rsidR="007A46E4" w:rsidRDefault="007A46E4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A46E4" w:rsidRDefault="007A46E4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E722C" w:rsidRPr="007E722C" w:rsidRDefault="007E722C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lastRenderedPageBreak/>
        <w:t>Задача 3</w:t>
      </w:r>
    </w:p>
    <w:p w:rsidR="007E722C" w:rsidRPr="007E722C" w:rsidRDefault="007E722C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Определите среднегодовую стоимость основных средств, используя известные вам способы.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8"/>
        <w:gridCol w:w="3210"/>
      </w:tblGrid>
      <w:tr w:rsidR="007E722C" w:rsidRPr="007E722C" w:rsidTr="0009772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1.3 – Исходные данные</w:t>
            </w:r>
          </w:p>
        </w:tc>
      </w:tr>
      <w:tr w:rsidR="007E722C" w:rsidRPr="007E722C" w:rsidTr="00097725">
        <w:tc>
          <w:tcPr>
            <w:tcW w:w="331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169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Значение, тыс. руб.</w:t>
            </w:r>
          </w:p>
        </w:tc>
      </w:tr>
      <w:tr w:rsidR="007E722C" w:rsidRPr="007E722C" w:rsidTr="00097725">
        <w:tc>
          <w:tcPr>
            <w:tcW w:w="331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Стоимость на начало года</w:t>
            </w:r>
          </w:p>
        </w:tc>
        <w:tc>
          <w:tcPr>
            <w:tcW w:w="1690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15 000</w:t>
            </w:r>
          </w:p>
        </w:tc>
      </w:tr>
      <w:tr w:rsidR="007E722C" w:rsidRPr="007E722C" w:rsidTr="00097725">
        <w:tc>
          <w:tcPr>
            <w:tcW w:w="3310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Стоимость введенных основных средств:</w:t>
            </w:r>
          </w:p>
        </w:tc>
        <w:tc>
          <w:tcPr>
            <w:tcW w:w="1690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7E722C" w:rsidRPr="007E722C" w:rsidTr="00097725">
        <w:tc>
          <w:tcPr>
            <w:tcW w:w="331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 марте</w:t>
            </w:r>
          </w:p>
        </w:tc>
        <w:tc>
          <w:tcPr>
            <w:tcW w:w="169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200</w:t>
            </w:r>
          </w:p>
        </w:tc>
      </w:tr>
      <w:tr w:rsidR="007E722C" w:rsidRPr="007E722C" w:rsidTr="00097725">
        <w:tc>
          <w:tcPr>
            <w:tcW w:w="331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 июне</w:t>
            </w:r>
          </w:p>
        </w:tc>
        <w:tc>
          <w:tcPr>
            <w:tcW w:w="169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150</w:t>
            </w:r>
          </w:p>
        </w:tc>
      </w:tr>
      <w:tr w:rsidR="007E722C" w:rsidRPr="007E722C" w:rsidTr="00097725">
        <w:tc>
          <w:tcPr>
            <w:tcW w:w="331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 августе</w:t>
            </w:r>
          </w:p>
        </w:tc>
        <w:tc>
          <w:tcPr>
            <w:tcW w:w="169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250</w:t>
            </w:r>
          </w:p>
        </w:tc>
      </w:tr>
      <w:tr w:rsidR="007E722C" w:rsidRPr="007E722C" w:rsidTr="00097725">
        <w:tc>
          <w:tcPr>
            <w:tcW w:w="3310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Стоимость выбывших основных средств:</w:t>
            </w:r>
          </w:p>
        </w:tc>
        <w:tc>
          <w:tcPr>
            <w:tcW w:w="1690" w:type="pct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</w:tr>
      <w:tr w:rsidR="007E722C" w:rsidRPr="007E722C" w:rsidTr="00097725">
        <w:tc>
          <w:tcPr>
            <w:tcW w:w="331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 феврале</w:t>
            </w:r>
          </w:p>
        </w:tc>
        <w:tc>
          <w:tcPr>
            <w:tcW w:w="1690" w:type="pct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7E722C" w:rsidRPr="007E722C" w:rsidTr="00097725">
        <w:tc>
          <w:tcPr>
            <w:tcW w:w="3310" w:type="pct"/>
            <w:tcBorders>
              <w:top w:val="nil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450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 октябре</w:t>
            </w:r>
          </w:p>
        </w:tc>
        <w:tc>
          <w:tcPr>
            <w:tcW w:w="1690" w:type="pct"/>
            <w:tcBorders>
              <w:top w:val="nil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257F7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300</w:t>
            </w:r>
          </w:p>
        </w:tc>
      </w:tr>
    </w:tbl>
    <w:p w:rsidR="001235C3" w:rsidRDefault="001235C3" w:rsidP="00257F75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46E4" w:rsidRPr="001235C3" w:rsidRDefault="007A46E4" w:rsidP="001235C3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Среднегодовая стоимость основных средств</w:t>
      </w:r>
      <w:r w:rsidR="003072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определяется по формуле</w:t>
      </w:r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7A46E4" w:rsidRDefault="007A46E4" w:rsidP="001235C3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ОФср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</w:t>
      </w: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ОФн.г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+ </w:t>
      </w: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ОФвв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*</w:t>
      </w:r>
      <w:r w:rsidR="001235C3"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м/12 - </w:t>
      </w:r>
      <w:proofErr w:type="spellStart"/>
      <w:r w:rsidR="001235C3"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ОФвыб</w:t>
      </w:r>
      <w:proofErr w:type="spellEnd"/>
      <w:r w:rsidR="001235C3"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.*м/12</w:t>
      </w:r>
    </w:p>
    <w:p w:rsidR="001235C3" w:rsidRPr="001235C3" w:rsidRDefault="001235C3" w:rsidP="001235C3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ОФср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15000 + 200*10/12 + 150*7/12 + 250*</w:t>
      </w:r>
      <w:r w:rsidR="003072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/12 - 100*11/12 - 300*3/12 = </w:t>
      </w:r>
      <w:r w:rsidR="003072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=15191,7 тыс. руб.</w:t>
      </w:r>
    </w:p>
    <w:p w:rsidR="007A46E4" w:rsidRDefault="003072C2" w:rsidP="001235C3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или по формуле:</w:t>
      </w:r>
    </w:p>
    <w:p w:rsidR="003072C2" w:rsidRDefault="003072C2" w:rsidP="003072C2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ОФср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ОФн.г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+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ОФк.г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.)/2</w:t>
      </w:r>
    </w:p>
    <w:p w:rsidR="003072C2" w:rsidRDefault="003072C2" w:rsidP="003072C2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ОФк.г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=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ОФн.г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+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ОФвв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ОФвыб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15000 + 200 + 150 + 250 - 100 - 300 = 15200 тыс. руб.</w:t>
      </w:r>
    </w:p>
    <w:p w:rsidR="003072C2" w:rsidRDefault="003072C2" w:rsidP="003072C2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ОФср</w:t>
      </w:r>
      <w:proofErr w:type="spellEnd"/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(15000</w:t>
      </w:r>
      <w:r w:rsidRPr="00123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15200)/2 = 15100 тыс. руб.</w:t>
      </w:r>
    </w:p>
    <w:p w:rsidR="003072C2" w:rsidRDefault="003072C2" w:rsidP="003072C2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072C2" w:rsidRPr="001235C3" w:rsidRDefault="003072C2" w:rsidP="001235C3">
      <w:pPr>
        <w:shd w:val="clear" w:color="auto" w:fill="FFFFFF"/>
        <w:spacing w:after="0" w:line="276" w:lineRule="auto"/>
        <w:ind w:left="408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E722C" w:rsidRDefault="007E722C" w:rsidP="001235C3">
      <w:pPr>
        <w:shd w:val="clear" w:color="auto" w:fill="FFFFFF"/>
        <w:spacing w:after="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Задача 4</w:t>
      </w:r>
    </w:p>
    <w:p w:rsidR="00257F75" w:rsidRPr="007E722C" w:rsidRDefault="00257F75" w:rsidP="001235C3">
      <w:pPr>
        <w:shd w:val="clear" w:color="auto" w:fill="FFFFFF"/>
        <w:spacing w:after="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E722C" w:rsidRPr="007E722C" w:rsidRDefault="007E722C" w:rsidP="00257F75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объекта основных средств составляет 80 тыс. руб., срок полезного использования – 5 лет. Определите годовые суммы амортизации, используя следующие способы:</w:t>
      </w:r>
    </w:p>
    <w:p w:rsidR="007E722C" w:rsidRPr="007E722C" w:rsidRDefault="007E722C" w:rsidP="00257F7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линейный;</w:t>
      </w:r>
    </w:p>
    <w:p w:rsidR="007E722C" w:rsidRPr="007E722C" w:rsidRDefault="007E722C" w:rsidP="00257F7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уменьшаемого остатка (коэффициент ускорения – 2);</w:t>
      </w:r>
    </w:p>
    <w:p w:rsidR="007E722C" w:rsidRDefault="007E722C" w:rsidP="00257F75">
      <w:pPr>
        <w:numPr>
          <w:ilvl w:val="0"/>
          <w:numId w:val="1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суммы чисел лет.</w:t>
      </w:r>
    </w:p>
    <w:p w:rsidR="00257F75" w:rsidRDefault="00257F75" w:rsidP="00257F75">
      <w:pPr>
        <w:shd w:val="clear" w:color="auto" w:fill="FFFFFF"/>
        <w:spacing w:after="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</w:p>
    <w:p w:rsidR="00257F75" w:rsidRDefault="00257F75" w:rsidP="00257F75">
      <w:pPr>
        <w:shd w:val="clear" w:color="auto" w:fill="FFFFFF"/>
        <w:spacing w:after="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  <w:t xml:space="preserve">При линейном методе годовая сумма амортизации одинакова на протяжении всего периода. </w:t>
      </w:r>
    </w:p>
    <w:p w:rsidR="00607D70" w:rsidRPr="007E722C" w:rsidRDefault="00257F75" w:rsidP="00607D7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proofErr w:type="gramStart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proofErr w:type="gramEnd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</w:t>
      </w:r>
      <w:proofErr w:type="spellStart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перв</w:t>
      </w:r>
      <w:proofErr w:type="spellEnd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</w:t>
      </w:r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а</w:t>
      </w:r>
      <w:proofErr w:type="spellEnd"/>
      <w:r w:rsidR="00607D70"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/100,</w:t>
      </w:r>
    </w:p>
    <w:p w:rsidR="00607D70" w:rsidRDefault="00607D70" w:rsidP="00607D70">
      <w:pPr>
        <w:spacing w:after="0" w:line="276" w:lineRule="auto"/>
        <w:ind w:left="-72" w:firstLine="7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ab/>
      </w:r>
      <w:r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 </w:t>
      </w:r>
      <w:proofErr w:type="spellStart"/>
      <w:r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r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перв</w:t>
      </w:r>
      <w:proofErr w:type="spellEnd"/>
      <w:r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первоначальная стоимость основных фондов, руб.;</w:t>
      </w:r>
    </w:p>
    <w:p w:rsidR="00607D70" w:rsidRDefault="00607D7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proofErr w:type="spellStart"/>
      <w:proofErr w:type="gramStart"/>
      <w:r w:rsidRPr="00CF5C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</w:t>
      </w:r>
      <w:proofErr w:type="gramEnd"/>
      <w:r w:rsidRPr="00CF5C86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а</w:t>
      </w:r>
      <w:proofErr w:type="spellEnd"/>
      <w:r w:rsidRPr="00CF5C86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норма амортизации – установленный в плановом порядке годовой процент возмещения основных фондов для полного восстановления основных фондов.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= 1/5 = 0,2 или 20%</w:t>
      </w:r>
    </w:p>
    <w:p w:rsidR="00607D70" w:rsidRDefault="00607D7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80*0,2 = 16 тыс. руб.</w:t>
      </w:r>
    </w:p>
    <w:p w:rsidR="00607D70" w:rsidRDefault="00C80CC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Способ уменьшаемого остатка.</w:t>
      </w:r>
    </w:p>
    <w:p w:rsidR="00C80CC0" w:rsidRP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proofErr w:type="gramStart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С</w:t>
      </w:r>
      <w:proofErr w:type="gram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о*(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proofErr w:type="spellStart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spell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) / 100, где</w:t>
      </w:r>
    </w:p>
    <w:p w:rsidR="00C80CC0" w:rsidRP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амортизации</w:t>
      </w:r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80CC0" w:rsidRP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proofErr w:type="gram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остаточная стоимость объекта;</w:t>
      </w:r>
    </w:p>
    <w:p w:rsidR="00C80CC0" w:rsidRP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норма износа;</w:t>
      </w:r>
    </w:p>
    <w:p w:rsid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proofErr w:type="spellEnd"/>
      <w:r w:rsidRPr="00C80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коэффициент ускорения.</w:t>
      </w:r>
    </w:p>
    <w:p w:rsidR="00C80CC0" w:rsidRPr="00C80CC0" w:rsidRDefault="00C80CC0" w:rsidP="00C80CC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1год.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80*2*0,2 = 32 тыс. руб.</w:t>
      </w:r>
    </w:p>
    <w:p w:rsidR="00C80CC0" w:rsidRDefault="00C80CC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48*0,4 = 19,2 тыс. руб.</w:t>
      </w:r>
    </w:p>
    <w:p w:rsidR="00C80CC0" w:rsidRDefault="00C80CC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28,8*0,4  = 11,52 тыс. руб.</w:t>
      </w:r>
    </w:p>
    <w:p w:rsidR="00C80CC0" w:rsidRDefault="00C80CC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17,28*0,4 = 6,9 тыс. руб.</w:t>
      </w:r>
    </w:p>
    <w:p w:rsidR="00C80CC0" w:rsidRDefault="00C80CC0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5год</w:t>
      </w:r>
      <w:r w:rsidR="00A0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097A"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 w:rsidR="00A00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10,38*0,4 = 4,2 тыс. руб.</w:t>
      </w:r>
    </w:p>
    <w:p w:rsidR="00A0097A" w:rsidRDefault="00A0097A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Сумма чисел лет 1 + 2 + 3 + 4 + 5 = 15</w:t>
      </w:r>
    </w:p>
    <w:p w:rsidR="00053FA6" w:rsidRPr="00053FA6" w:rsidRDefault="00053FA6" w:rsidP="00053FA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A</w:t>
      </w:r>
      <w:proofErr w:type="gram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ОТ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</w:t>
      </w:r>
      <w:proofErr w:type="spell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перв</w:t>
      </w:r>
      <w:proofErr w:type="spell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H</w:t>
      </w:r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а</w:t>
      </w:r>
      <w:proofErr w:type="spellEnd"/>
      <w:r w:rsidRPr="007E722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/100</w:t>
      </w:r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3FA6" w:rsidRPr="00053FA6" w:rsidRDefault="00053FA6" w:rsidP="00053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каждого расчетного года высчитывается своя амортизационная норма. Этот показатель находится в зависимости от периода полезного применения ОС (устанавливается при оформлении ОС на учет).</w:t>
      </w:r>
    </w:p>
    <w:p w:rsidR="00053FA6" w:rsidRPr="00053FA6" w:rsidRDefault="00053FA6" w:rsidP="00053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Чтобы определить норму амортизации, необходимо знать, какой период полезного применения </w:t>
      </w:r>
      <w:proofErr w:type="gramStart"/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 закреплен для ОС при постановке на учет и сколько времени осталось</w:t>
      </w:r>
      <w:proofErr w:type="gramEnd"/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его окончания. Таким образом, будет использована формула:</w:t>
      </w:r>
    </w:p>
    <w:p w:rsidR="00053FA6" w:rsidRPr="00053FA6" w:rsidRDefault="00053FA6" w:rsidP="00053FA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Количество лет до окончания срока полезного использования / число лет полезного применения </w:t>
      </w:r>
      <w:proofErr w:type="spellStart"/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spellEnd"/>
      <w:r w:rsidRPr="00053F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100%.</w:t>
      </w:r>
    </w:p>
    <w:p w:rsidR="00053FA6" w:rsidRDefault="00053FA6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97A" w:rsidRPr="00C80CC0" w:rsidRDefault="00A0097A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80*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5/15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26,7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0097A" w:rsidRDefault="00A0097A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80*4/15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21,3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0097A" w:rsidRDefault="00A0097A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80*3/15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0097A" w:rsidRDefault="00A0097A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80*2/15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10,7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0097A" w:rsidRDefault="00A0097A" w:rsidP="00A0097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5год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Аот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80*1/15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="00AC4D47">
        <w:rPr>
          <w:rFonts w:ascii="Times New Roman" w:eastAsia="Times New Roman" w:hAnsi="Times New Roman" w:cs="Times New Roman"/>
          <w:sz w:val="26"/>
          <w:szCs w:val="26"/>
          <w:lang w:eastAsia="ru-RU"/>
        </w:rPr>
        <w:t>5,3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A0097A" w:rsidRPr="00CF5C86" w:rsidRDefault="00A0097A" w:rsidP="00607D70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22C" w:rsidRDefault="00AC4D47" w:rsidP="00607D70">
      <w:pPr>
        <w:shd w:val="clear" w:color="auto" w:fill="FFFFFF"/>
        <w:spacing w:after="0" w:line="336" w:lineRule="atLeast"/>
        <w:jc w:val="both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ab/>
      </w:r>
      <w:r w:rsidR="007E722C"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Задача 5</w:t>
      </w:r>
    </w:p>
    <w:p w:rsidR="00AC4D47" w:rsidRPr="007E722C" w:rsidRDefault="00AC4D47" w:rsidP="00607D70">
      <w:pPr>
        <w:shd w:val="clear" w:color="auto" w:fill="FFFFFF"/>
        <w:spacing w:after="0" w:line="336" w:lineRule="atLeast"/>
        <w:jc w:val="both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E722C" w:rsidRPr="007E722C" w:rsidRDefault="007E722C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Определить, какие амортизационные начисления будут начисляться в целом по НГДУ в плановом году в соответствии с планом движения нефтяных и нагнетательных скважин, исходя из следующих данных. Стоимость добывающих скважин, 15-летний срок эксплуатации которых не истек, на начало года составляет 590 253 тыс. руб. Стоимость нагнета</w:t>
      </w:r>
      <w:r w:rsidR="00AC4D4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тельных скважин, 12-летний срок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эксплуатации которых не истек, на начало года составляет 107 200 тыс. руб.</w:t>
      </w:r>
    </w:p>
    <w:p w:rsidR="007E722C" w:rsidRPr="007E722C" w:rsidRDefault="007E722C" w:rsidP="00F6725B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В течение года ожидается ввод новых нефтяных скважин стоимостью 162 803 тыс. руб., и новых нагнетательных скважин, стоимостью 14 870 тыс. руб. В консервацию в планируемом году выбывают добывающие скважины на сумму 48 360 тыс. руб., а также нагнетательные скважины на сумму 48 910 тыс. руб. Стоимость нефтяных скважин, выбывающих в связи с окончанием срока их эксплуатации, составляет 12 340</w:t>
      </w:r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тыс.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руб., нагнетательных скважин  8 630 тыс. руб.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Из консервации вновь вводятся нефтяные и нагнетательные сква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жины,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оцениваемые соответственно в 60 784 тыс. руб. и 10 416 тыс. руб. Ввод и выбытие всех ОПФ происходят равномерно в течение года.</w:t>
      </w:r>
    </w:p>
    <w:p w:rsidR="007E722C" w:rsidRDefault="007E722C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Кроме нефтяных и нагнетательных скважин в течение года планируется ввод прочих основных фондов на сумму 195 110 тыс. руб. и их выбытие на сумму 4 141 тыс. руб. Стоимость прочих основных фондов на начало планируемого года составляет 1 020 641 тыс. руб. Амортизация по всем скважинам начисляется по среднегодовой норме 6,7%, по прочим основным фондам – по средней норме 5,4% в</w:t>
      </w:r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год.</w:t>
      </w:r>
    </w:p>
    <w:p w:rsidR="00F6725B" w:rsidRDefault="00F6725B" w:rsidP="00F6725B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Среднегодовая стоимость скважин:</w:t>
      </w:r>
    </w:p>
    <w:p w:rsidR="00F6725B" w:rsidRDefault="00F6725B" w:rsidP="00F6725B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Скср</w:t>
      </w:r>
      <w:proofErr w:type="spellEnd"/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= (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590 253 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="003109B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="003D692E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107 200 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</w:t>
      </w:r>
      <w:r w:rsidR="003D692E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107 200 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590 253 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="003D692E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14 870 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162 803 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-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48 360 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-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12 340 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- </w:t>
      </w:r>
      <w:r w:rsidR="003D692E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48 910 </w:t>
      </w:r>
      <w:r w:rsidR="003D692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- 8 630 </w:t>
      </w:r>
      <w:r w:rsidR="003109B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="003109BB"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60 784 </w:t>
      </w:r>
      <w:r w:rsidR="003109BB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+ 10 416))/2 = </w:t>
      </w:r>
      <w:r w:rsidR="003D55E8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762769,5 тыс. руб.</w:t>
      </w:r>
    </w:p>
    <w:p w:rsidR="003D55E8" w:rsidRDefault="003D55E8" w:rsidP="00F6725B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Среднегодовая стоимость прочих ОФ:</w:t>
      </w:r>
    </w:p>
    <w:p w:rsidR="003D55E8" w:rsidRPr="007E722C" w:rsidRDefault="003D55E8" w:rsidP="00F6725B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ОФпр</w:t>
      </w:r>
      <w:proofErr w:type="spellEnd"/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= (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1 020 641 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+ (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1 020 641 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+ </w:t>
      </w: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195 110 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- 4 141))/2 = 1116125,5 тыс. руб.</w:t>
      </w:r>
      <w:r w:rsidR="00647C6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</w:p>
    <w:p w:rsidR="007E722C" w:rsidRPr="007E722C" w:rsidRDefault="007E722C" w:rsidP="00F6725B">
      <w:pPr>
        <w:shd w:val="clear" w:color="auto" w:fill="FFFFFF"/>
        <w:spacing w:before="240" w:after="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Задача 6</w:t>
      </w:r>
    </w:p>
    <w:p w:rsidR="007E722C" w:rsidRPr="007E722C" w:rsidRDefault="007E722C" w:rsidP="007E722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Определите коэффициенты экстенсивного использования оборудования цеха при следующих условиях (таблица 1.4).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9"/>
        <w:gridCol w:w="2259"/>
      </w:tblGrid>
      <w:tr w:rsidR="007E722C" w:rsidRPr="007E722C" w:rsidTr="004D04A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1.4 – Исходные данные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Значение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Количество смен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Продолжительность смены, </w:t>
            </w:r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</w:t>
            </w:r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Количество выходных дней в году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104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Количество праздничных дней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11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Количество агрегатов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</w:tr>
      <w:tr w:rsidR="007E722C" w:rsidRPr="007E722C" w:rsidTr="004D04A1">
        <w:tc>
          <w:tcPr>
            <w:tcW w:w="3811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Фактические простои по цеху, </w:t>
            </w:r>
            <w:proofErr w:type="gramStart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ч</w:t>
            </w:r>
            <w:proofErr w:type="gramEnd"/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189" w:type="pc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E722C" w:rsidRPr="007E722C" w:rsidRDefault="007E722C" w:rsidP="007E722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7E722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887</w:t>
            </w:r>
          </w:p>
        </w:tc>
      </w:tr>
    </w:tbl>
    <w:p w:rsidR="00B57C74" w:rsidRDefault="00B57C74" w:rsidP="00B57C74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57C74" w:rsidRPr="00B57C74" w:rsidRDefault="00B57C74" w:rsidP="00B57C74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Коэффициент экстенсивного использования характеризует эффективность использования оборудования во времени. Он определяется отношением времени работы оборудования (</w:t>
      </w:r>
      <w:proofErr w:type="spellStart"/>
      <w:proofErr w:type="gram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</w:t>
      </w:r>
      <w:proofErr w:type="spellEnd"/>
      <w:proofErr w:type="gramEnd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ко всему календарному или плановому времени (</w:t>
      </w:r>
      <w:proofErr w:type="spell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Тк</w:t>
      </w:r>
      <w:proofErr w:type="spellEnd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т.е. показывает удельный вес времени производительной работы оборудования:</w:t>
      </w:r>
    </w:p>
    <w:p w:rsidR="00B57C74" w:rsidRDefault="00B57C74" w:rsidP="00B57C74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Кэ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</w:t>
      </w:r>
      <w:proofErr w:type="spellEnd"/>
      <w:proofErr w:type="gramEnd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proofErr w:type="spell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Тк</w:t>
      </w:r>
      <w:proofErr w:type="spellEnd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0551D" w:rsidRDefault="0010551D" w:rsidP="00B57C74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2*8*5*(365 - 104 - 11) - 887 = 19113 ч</w:t>
      </w:r>
    </w:p>
    <w:p w:rsidR="0010551D" w:rsidRPr="00B57C74" w:rsidRDefault="0010551D" w:rsidP="00B57C74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Тк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= </w:t>
      </w:r>
      <w:r w:rsidR="00651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2*8*5*(365 - 104 - 11)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 2</w:t>
      </w:r>
      <w:r w:rsidR="00651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ч</w:t>
      </w:r>
    </w:p>
    <w:p w:rsidR="0010551D" w:rsidRDefault="0010551D" w:rsidP="0010551D">
      <w:pPr>
        <w:shd w:val="clear" w:color="auto" w:fill="FFFFFF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Кэ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19113</w:t>
      </w:r>
      <w:r w:rsidRPr="00B57C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651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00 = 0,</w:t>
      </w:r>
      <w:r w:rsidR="00651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651E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B57C74" w:rsidRDefault="00B57C74" w:rsidP="00B57C74">
      <w:pPr>
        <w:shd w:val="clear" w:color="auto" w:fill="FFFFFF"/>
        <w:spacing w:after="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</w:p>
    <w:p w:rsidR="007E722C" w:rsidRPr="007E722C" w:rsidRDefault="007E722C" w:rsidP="007E722C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7E722C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Задача 7</w:t>
      </w:r>
    </w:p>
    <w:p w:rsidR="007E722C" w:rsidRPr="007E722C" w:rsidRDefault="007E722C" w:rsidP="00451840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 буровому предприятию имеются следующие данные за год:</w:t>
      </w:r>
    </w:p>
    <w:p w:rsidR="007E722C" w:rsidRPr="007E722C" w:rsidRDefault="007E722C" w:rsidP="00451840">
      <w:pPr>
        <w:numPr>
          <w:ilvl w:val="0"/>
          <w:numId w:val="2"/>
        </w:numPr>
        <w:shd w:val="clear" w:color="auto" w:fill="FFFFFF"/>
        <w:spacing w:after="0" w:line="276" w:lineRule="auto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число пробуренных скважин – 100;</w:t>
      </w:r>
    </w:p>
    <w:p w:rsidR="007E722C" w:rsidRPr="007E722C" w:rsidRDefault="007E722C" w:rsidP="00451840">
      <w:pPr>
        <w:numPr>
          <w:ilvl w:val="0"/>
          <w:numId w:val="2"/>
        </w:numPr>
        <w:shd w:val="clear" w:color="auto" w:fill="FFFFFF"/>
        <w:spacing w:after="0" w:line="276" w:lineRule="auto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средняя проектная глубина скважины, </w:t>
      </w:r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</w:t>
      </w:r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– 2 500;</w:t>
      </w:r>
    </w:p>
    <w:p w:rsidR="007E722C" w:rsidRPr="007E722C" w:rsidRDefault="007E722C" w:rsidP="00451840">
      <w:pPr>
        <w:numPr>
          <w:ilvl w:val="0"/>
          <w:numId w:val="2"/>
        </w:numPr>
        <w:shd w:val="clear" w:color="auto" w:fill="FFFFFF"/>
        <w:spacing w:after="0" w:line="276" w:lineRule="auto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сметная стоимость 1 метра проходки, тыс. руб. – 4,6;</w:t>
      </w:r>
    </w:p>
    <w:p w:rsidR="007E722C" w:rsidRPr="007E722C" w:rsidRDefault="007E722C" w:rsidP="00451840">
      <w:pPr>
        <w:numPr>
          <w:ilvl w:val="0"/>
          <w:numId w:val="2"/>
        </w:numPr>
        <w:shd w:val="clear" w:color="auto" w:fill="FFFFFF"/>
        <w:spacing w:after="0" w:line="276" w:lineRule="auto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основных фондов на начало года, </w:t>
      </w:r>
      <w:proofErr w:type="spellStart"/>
      <w:proofErr w:type="gramStart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руб. – 738,1;</w:t>
      </w:r>
    </w:p>
    <w:p w:rsidR="007E722C" w:rsidRPr="007E722C" w:rsidRDefault="007E722C" w:rsidP="00451840">
      <w:pPr>
        <w:numPr>
          <w:ilvl w:val="0"/>
          <w:numId w:val="2"/>
        </w:numPr>
        <w:shd w:val="clear" w:color="auto" w:fill="FFFFFF"/>
        <w:spacing w:after="0" w:line="276" w:lineRule="auto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работников ППП, чел – 2 800.</w:t>
      </w:r>
    </w:p>
    <w:p w:rsidR="007E722C" w:rsidRDefault="007E722C" w:rsidP="00451840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7E722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Определить показатели использования основных фондов.</w:t>
      </w:r>
    </w:p>
    <w:p w:rsidR="00451840" w:rsidRPr="007E722C" w:rsidRDefault="00451840" w:rsidP="00451840">
      <w:pPr>
        <w:shd w:val="clear" w:color="auto" w:fill="FFFFFF"/>
        <w:spacing w:after="0" w:line="276" w:lineRule="auto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</w:p>
    <w:p w:rsidR="00CA24E0" w:rsidRDefault="00284FD2" w:rsidP="0045184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84FD2">
        <w:rPr>
          <w:rFonts w:ascii="Times New Roman" w:hAnsi="Times New Roman" w:cs="Times New Roman"/>
          <w:sz w:val="26"/>
          <w:szCs w:val="26"/>
        </w:rPr>
        <w:t>Сметная стоимость выполненного объема буровых работ:</w:t>
      </w:r>
    </w:p>
    <w:p w:rsidR="00284FD2" w:rsidRDefault="00284FD2" w:rsidP="00284FD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= 100*2500*4,6 = </w:t>
      </w:r>
      <w:r w:rsidR="00451840">
        <w:rPr>
          <w:rFonts w:ascii="Times New Roman" w:hAnsi="Times New Roman" w:cs="Times New Roman"/>
          <w:sz w:val="26"/>
          <w:szCs w:val="26"/>
        </w:rPr>
        <w:t>1150 млн. руб.</w:t>
      </w:r>
    </w:p>
    <w:p w:rsidR="00451840" w:rsidRDefault="00451840" w:rsidP="00284FD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Фондоотдача: </w:t>
      </w:r>
      <w:proofErr w:type="spellStart"/>
      <w:r>
        <w:rPr>
          <w:rFonts w:ascii="Times New Roman" w:hAnsi="Times New Roman" w:cs="Times New Roman"/>
          <w:sz w:val="26"/>
          <w:szCs w:val="26"/>
        </w:rPr>
        <w:t>Фо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1150/738,1 = 1,56 руб./руб.</w:t>
      </w:r>
    </w:p>
    <w:p w:rsidR="00451840" w:rsidRDefault="00451840" w:rsidP="00284FD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Фондоемкость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738,1/1150  = 0,64 руб./руб.</w:t>
      </w:r>
    </w:p>
    <w:p w:rsidR="00451840" w:rsidRPr="00284FD2" w:rsidRDefault="00451840" w:rsidP="00284FD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Фондовооруженость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Фв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738,1/2800 = 263,6 тыс. руб./чел.</w:t>
      </w:r>
    </w:p>
    <w:sectPr w:rsidR="00451840" w:rsidRPr="00284FD2" w:rsidSect="00785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0F8B"/>
    <w:multiLevelType w:val="multilevel"/>
    <w:tmpl w:val="E5A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60F90"/>
    <w:multiLevelType w:val="multilevel"/>
    <w:tmpl w:val="5FF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F9A"/>
    <w:rsid w:val="00053FA6"/>
    <w:rsid w:val="00065F9A"/>
    <w:rsid w:val="00097725"/>
    <w:rsid w:val="0010551D"/>
    <w:rsid w:val="001235C3"/>
    <w:rsid w:val="00257F75"/>
    <w:rsid w:val="00284FD2"/>
    <w:rsid w:val="003072C2"/>
    <w:rsid w:val="003109BB"/>
    <w:rsid w:val="00335546"/>
    <w:rsid w:val="003D55E8"/>
    <w:rsid w:val="003D692E"/>
    <w:rsid w:val="00451840"/>
    <w:rsid w:val="004D04A1"/>
    <w:rsid w:val="0051508E"/>
    <w:rsid w:val="00607D70"/>
    <w:rsid w:val="00647C6D"/>
    <w:rsid w:val="00651EB7"/>
    <w:rsid w:val="0078552D"/>
    <w:rsid w:val="007A46E4"/>
    <w:rsid w:val="007E722C"/>
    <w:rsid w:val="00831DCD"/>
    <w:rsid w:val="00A0097A"/>
    <w:rsid w:val="00AC4D47"/>
    <w:rsid w:val="00B57C74"/>
    <w:rsid w:val="00C80CC0"/>
    <w:rsid w:val="00CA24E0"/>
    <w:rsid w:val="00CF5C86"/>
    <w:rsid w:val="00F6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ginger</cp:lastModifiedBy>
  <cp:revision>2</cp:revision>
  <dcterms:created xsi:type="dcterms:W3CDTF">2022-01-19T00:02:00Z</dcterms:created>
  <dcterms:modified xsi:type="dcterms:W3CDTF">2022-01-19T00:02:00Z</dcterms:modified>
</cp:coreProperties>
</file>